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Реализация задач образовательной области "Познания" в ДОУ по ФГТ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Целевая аудитория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воспитателей ДОУ, методистов и старших воспитателей ДОУ, педагогов коммерческих центров развития ребенка, педагогов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работающих с дошкольниками.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задач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ДОУ по ФГТ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слушателей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реализации требований ФГТ к структуре основной образовательной программы ДОУ в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знания о современных подходах к решению задач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опыта решения практических педагогических задач из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обобщить знания слушателей курсов повышения квалификации по формированию у дошкольников элементарных математических представлений в ходе решения задач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слушателем курсов повышения квалификации возможность ознакомиться с примерами решения задач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ДОУ в соответствии с ФГТ.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ПОВЫШЕНИЯ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 с распределением по темам 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Состояние современного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дошкольного образования</w:t>
              </w:r>
            </w:hyperlink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России и роль педагога в нем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образовательных областей в соответствии с ФГТ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 в современном дошкольном образовании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и исследовательская деятельность в ДОУ при реализации ФГТ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Образовательная область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ФГТ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образовательной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Сущность психолого-педагогической работы по освоению образовательной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дошкольников по освоению образовательной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Формирование у дошкольников элементарных математических представлений в ходе решения задач образовательной области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 математическое образование дошкольников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Числовая линия в математическом образовании дошкольников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Отношения и величины, окружающий мир в математическом образовании дошкольников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Примеры решения задач образовательной области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ДОУ по ФГТ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и интеграция образовательной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практической деятельности современных ДОУ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программы по образовательной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0">
    <w:abstractNumId w:val="12"/>
  </w:num>
  <w:num w:numId="62">
    <w:abstractNumId w:val="6"/>
  </w:num>
  <w:num w:numId="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2380343-kursy-povysheniya-kvalifikatsii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Mode="External" Target="http://sispp.tiu.ru/g3032377-doshkolnoe-obrazovanie" Id="docRId4" Type="http://schemas.openxmlformats.org/officeDocument/2006/relationships/hyperlink"/><Relationship Target="styles.xml" Id="docRId6" Type="http://schemas.openxmlformats.org/officeDocument/2006/relationships/styles"/></Relationships>
</file>